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8916" w14:textId="58A59DF6" w:rsidR="00BC3486" w:rsidRPr="00A749B5" w:rsidRDefault="00BC3486" w:rsidP="004869D1">
      <w:pPr>
        <w:pStyle w:val="Nagwek1"/>
      </w:pPr>
      <w:r w:rsidRPr="00A749B5">
        <w:t>Dostępność wystawy</w:t>
      </w:r>
      <w:r w:rsidR="00D86A6A">
        <w:t xml:space="preserve"> </w:t>
      </w:r>
      <w:bookmarkStart w:id="0" w:name="_GoBack"/>
      <w:r w:rsidR="00D86A6A">
        <w:t>„</w:t>
      </w:r>
      <w:r w:rsidR="009E4FC0" w:rsidRPr="009E4FC0">
        <w:t>W oku cyklonu. Modernizm w Ukrainie</w:t>
      </w:r>
      <w:r w:rsidR="00D86A6A">
        <w:t>”</w:t>
      </w:r>
      <w:bookmarkEnd w:id="0"/>
    </w:p>
    <w:p w14:paraId="3EFAB2DA" w14:textId="3BDF2374" w:rsidR="00BC3486" w:rsidRPr="00A749B5" w:rsidRDefault="00CC5114" w:rsidP="00BC3486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A749B5">
        <w:rPr>
          <w:rFonts w:ascii="United Sans Rg Lt" w:eastAsia="Times New Roman" w:hAnsi="United Sans Rg Lt" w:cs="Times New Roman"/>
          <w:sz w:val="24"/>
          <w:szCs w:val="24"/>
        </w:rPr>
        <w:t>Po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wejściu do galerii, po </w:t>
      </w:r>
      <w:r w:rsidR="009E4FC0">
        <w:rPr>
          <w:rFonts w:ascii="United Sans Rg Lt" w:eastAsia="Times New Roman" w:hAnsi="United Sans Rg Lt" w:cs="Times New Roman"/>
          <w:sz w:val="24"/>
          <w:szCs w:val="24"/>
        </w:rPr>
        <w:t>lewej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stronie znajduj</w:t>
      </w:r>
      <w:r w:rsidR="00A749B5" w:rsidRPr="00A749B5">
        <w:rPr>
          <w:rFonts w:ascii="United Sans Rg Lt" w:eastAsia="Times New Roman" w:hAnsi="United Sans Rg Lt" w:cs="Times New Roman"/>
          <w:sz w:val="24"/>
          <w:szCs w:val="24"/>
        </w:rPr>
        <w:t>ą się ramka</w:t>
      </w:r>
      <w:r w:rsidR="00267303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z 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>informacj</w:t>
      </w:r>
      <w:r w:rsidR="00267303" w:rsidRPr="00A749B5">
        <w:rPr>
          <w:rFonts w:ascii="United Sans Rg Lt" w:eastAsia="Times New Roman" w:hAnsi="United Sans Rg Lt" w:cs="Times New Roman"/>
          <w:sz w:val="24"/>
          <w:szCs w:val="24"/>
        </w:rPr>
        <w:t>ami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o wystawie w</w:t>
      </w:r>
      <w:r w:rsidR="00A749B5">
        <w:rPr>
          <w:rFonts w:ascii="Calibri" w:eastAsia="Times New Roman" w:hAnsi="Calibri" w:cs="Calibri"/>
          <w:sz w:val="24"/>
          <w:szCs w:val="24"/>
        </w:rPr>
        <w:t> 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języku Braille’a </w:t>
      </w:r>
      <w:r w:rsidR="00267303" w:rsidRPr="00A749B5">
        <w:rPr>
          <w:rFonts w:ascii="United Sans Rg Lt" w:eastAsia="Times New Roman" w:hAnsi="United Sans Rg Lt" w:cs="Times New Roman"/>
          <w:sz w:val="24"/>
          <w:szCs w:val="24"/>
        </w:rPr>
        <w:t>i</w:t>
      </w:r>
      <w:r w:rsidR="00BC3486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kod QR</w:t>
      </w:r>
      <w:r w:rsidR="00267303"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kierujący do: </w:t>
      </w:r>
    </w:p>
    <w:p w14:paraId="1F85C9B2" w14:textId="1DA33EB0" w:rsidR="00BC3486" w:rsidRPr="004869D1" w:rsidRDefault="00BC3486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proofErr w:type="spellStart"/>
      <w:r w:rsidRPr="004869D1">
        <w:rPr>
          <w:rFonts w:ascii="United Sans Rg Lt" w:eastAsia="Times New Roman" w:hAnsi="United Sans Rg Lt" w:cs="Times New Roman"/>
          <w:sz w:val="24"/>
          <w:szCs w:val="24"/>
        </w:rPr>
        <w:t>audiodeskrypcji</w:t>
      </w:r>
      <w:proofErr w:type="spellEnd"/>
      <w:r w:rsidRPr="004869D1">
        <w:rPr>
          <w:rFonts w:ascii="United Sans Rg Lt" w:eastAsia="Times New Roman" w:hAnsi="United Sans Rg Lt" w:cs="Times New Roman"/>
          <w:sz w:val="24"/>
          <w:szCs w:val="24"/>
        </w:rPr>
        <w:t xml:space="preserve">, filmów w PJM i infografik </w:t>
      </w:r>
      <w:r w:rsidR="009E4FC0">
        <w:rPr>
          <w:rFonts w:ascii="United Sans Rg Lt" w:eastAsia="Times New Roman" w:hAnsi="United Sans Rg Lt" w:cs="Times New Roman"/>
          <w:sz w:val="24"/>
          <w:szCs w:val="24"/>
        </w:rPr>
        <w:t xml:space="preserve">wybranych </w:t>
      </w:r>
      <w:r w:rsidRPr="004869D1">
        <w:rPr>
          <w:rFonts w:ascii="United Sans Rg Lt" w:eastAsia="Times New Roman" w:hAnsi="United Sans Rg Lt" w:cs="Times New Roman"/>
          <w:sz w:val="24"/>
          <w:szCs w:val="24"/>
        </w:rPr>
        <w:t xml:space="preserve">prac z wystawy umieszczonych w portalu Zasoby </w:t>
      </w:r>
    </w:p>
    <w:p w14:paraId="78C41526" w14:textId="751F1C38" w:rsidR="00267303" w:rsidRPr="004869D1" w:rsidRDefault="00267303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4869D1">
        <w:rPr>
          <w:rFonts w:ascii="United Sans Rg Lt" w:eastAsia="Times New Roman" w:hAnsi="United Sans Rg Lt" w:cs="Times New Roman"/>
          <w:sz w:val="24"/>
          <w:szCs w:val="24"/>
        </w:rPr>
        <w:t>tekstu kuratorskiego w języku prostym</w:t>
      </w:r>
    </w:p>
    <w:p w14:paraId="792B7BF5" w14:textId="6DB8D51F" w:rsidR="00267303" w:rsidRPr="004869D1" w:rsidRDefault="00267303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4869D1">
        <w:rPr>
          <w:rFonts w:ascii="United Sans Rg Lt" w:eastAsia="Times New Roman" w:hAnsi="United Sans Rg Lt" w:cs="Times New Roman"/>
          <w:sz w:val="24"/>
          <w:szCs w:val="24"/>
        </w:rPr>
        <w:t>opisu ogólnego wystawy.</w:t>
      </w:r>
    </w:p>
    <w:p w14:paraId="7291E1A5" w14:textId="074E90EC" w:rsidR="00267303" w:rsidRDefault="00267303" w:rsidP="00E17FEF">
      <w:pPr>
        <w:spacing w:before="100" w:beforeAutospacing="1" w:after="600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Obok ramki z tekstem w języku Braille’a jest </w:t>
      </w:r>
      <w:proofErr w:type="spellStart"/>
      <w:r w:rsidRPr="00A749B5">
        <w:rPr>
          <w:rFonts w:ascii="United Sans Rg Lt" w:eastAsia="Times New Roman" w:hAnsi="United Sans Rg Lt" w:cs="Times New Roman"/>
          <w:sz w:val="24"/>
          <w:szCs w:val="24"/>
        </w:rPr>
        <w:t>tyfloplan</w:t>
      </w:r>
      <w:proofErr w:type="spellEnd"/>
      <w:r w:rsidRPr="00A749B5">
        <w:rPr>
          <w:rFonts w:ascii="United Sans Rg Lt" w:eastAsia="Times New Roman" w:hAnsi="United Sans Rg Lt" w:cs="Times New Roman"/>
          <w:sz w:val="24"/>
          <w:szCs w:val="24"/>
        </w:rPr>
        <w:t xml:space="preserve"> przestrzeni galerii.</w:t>
      </w:r>
    </w:p>
    <w:p w14:paraId="6C1A60E8" w14:textId="4EE7CE5D" w:rsidR="009E4FC0" w:rsidRDefault="009E4FC0" w:rsidP="009E4FC0">
      <w:pPr>
        <w:spacing w:before="100" w:beforeAutospacing="1" w:after="600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>
        <w:rPr>
          <w:rFonts w:ascii="United Sans Rg Lt" w:eastAsia="Times New Roman" w:hAnsi="United Sans Rg Lt" w:cs="Times New Roman"/>
          <w:sz w:val="24"/>
          <w:szCs w:val="24"/>
        </w:rPr>
        <w:t>W przestrzeni wystawy znajdują się dwie kopie dotykowe dzieł:</w:t>
      </w:r>
    </w:p>
    <w:p w14:paraId="58CE189D" w14:textId="76D25E1C" w:rsidR="009E4FC0" w:rsidRPr="009E4FC0" w:rsidRDefault="009E4FC0" w:rsidP="009E4FC0">
      <w:pPr>
        <w:pStyle w:val="Akapitzlist"/>
        <w:numPr>
          <w:ilvl w:val="0"/>
          <w:numId w:val="5"/>
        </w:numPr>
        <w:spacing w:before="100" w:beforeAutospacing="1" w:after="600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Kopia 3D rzeźby Alexandra </w:t>
      </w:r>
      <w:proofErr w:type="spellStart"/>
      <w:r w:rsidRPr="009E4FC0">
        <w:rPr>
          <w:rFonts w:ascii="United Sans Rg Lt" w:eastAsia="Times New Roman" w:hAnsi="United Sans Rg Lt" w:cs="Times New Roman"/>
          <w:sz w:val="24"/>
          <w:szCs w:val="24"/>
        </w:rPr>
        <w:t>Archipenki</w:t>
      </w:r>
      <w:proofErr w:type="spellEnd"/>
      <w:r>
        <w:rPr>
          <w:rFonts w:ascii="United Sans Rg Lt" w:eastAsia="Times New Roman" w:hAnsi="United Sans Rg Lt" w:cs="Times New Roman"/>
          <w:sz w:val="24"/>
          <w:szCs w:val="24"/>
        </w:rPr>
        <w:t xml:space="preserve"> pt. „Postać kobieca”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na postumencie w</w:t>
      </w:r>
      <w:r w:rsidR="0070181E">
        <w:rPr>
          <w:rFonts w:ascii="Calibri" w:eastAsia="Times New Roman" w:hAnsi="Calibri" w:cs="Calibri"/>
          <w:sz w:val="24"/>
          <w:szCs w:val="24"/>
        </w:rPr>
        <w:t> 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>pierwsz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ej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 częś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ci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 wystawy 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 xml:space="preserve">pt. 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>„Nowa sztuka”</w:t>
      </w:r>
    </w:p>
    <w:p w14:paraId="51E419F9" w14:textId="79D66489" w:rsidR="009E4FC0" w:rsidRPr="009E4FC0" w:rsidRDefault="009E4FC0" w:rsidP="009E4FC0">
      <w:pPr>
        <w:pStyle w:val="Akapitzlist"/>
        <w:numPr>
          <w:ilvl w:val="0"/>
          <w:numId w:val="5"/>
        </w:numPr>
        <w:spacing w:before="100" w:beforeAutospacing="1" w:after="600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proofErr w:type="spellStart"/>
      <w:r w:rsidRPr="009E4FC0">
        <w:rPr>
          <w:rFonts w:ascii="United Sans Rg Lt" w:eastAsia="Times New Roman" w:hAnsi="United Sans Rg Lt" w:cs="Times New Roman"/>
          <w:sz w:val="24"/>
          <w:szCs w:val="24"/>
        </w:rPr>
        <w:t>Tyflografika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 obrazu Marka Włodarskiego 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pt. „Abstrakcja” 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 xml:space="preserve">wisi na ścianie w </w:t>
      </w:r>
      <w:r>
        <w:rPr>
          <w:rFonts w:ascii="United Sans Rg Lt" w:eastAsia="Times New Roman" w:hAnsi="United Sans Rg Lt" w:cs="Times New Roman"/>
          <w:sz w:val="24"/>
          <w:szCs w:val="24"/>
        </w:rPr>
        <w:t>siódm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ej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 częś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ci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 wystawy ‘Międzywojenny Lwów”</w:t>
      </w:r>
      <w:r w:rsidR="0070181E">
        <w:rPr>
          <w:rFonts w:ascii="United Sans Rg Lt" w:eastAsia="Times New Roman" w:hAnsi="United Sans Rg Lt" w:cs="Times New Roman"/>
          <w:sz w:val="24"/>
          <w:szCs w:val="24"/>
        </w:rPr>
        <w:t>.</w:t>
      </w:r>
    </w:p>
    <w:p w14:paraId="7708757A" w14:textId="57D51A53" w:rsidR="00BC3486" w:rsidRPr="00A749B5" w:rsidRDefault="00BC3486" w:rsidP="00A749B5">
      <w:pPr>
        <w:pStyle w:val="Nagwek2"/>
      </w:pPr>
      <w:proofErr w:type="spellStart"/>
      <w:r w:rsidRPr="00E17FEF">
        <w:t>Audiodeskrypcje</w:t>
      </w:r>
      <w:proofErr w:type="spellEnd"/>
      <w:r w:rsidR="00A749B5">
        <w:t xml:space="preserve"> i filmy PJM do wybranych dzieł</w:t>
      </w:r>
      <w:r w:rsidRPr="00E17FEF">
        <w:t>:</w:t>
      </w:r>
    </w:p>
    <w:p w14:paraId="5D84D4D6" w14:textId="7B7B7DD0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Fabryki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5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https://zasoby.msl.org.pl/arts/view/6239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55CE5993" w14:textId="0E28366E" w:rsidR="009E4FC0" w:rsidRPr="009E4FC0" w:rsidRDefault="009E4FC0" w:rsidP="00B5141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Robotnicy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6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https://zasoby.msl.org.pl/arts/view/497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0841678A" w14:textId="7871DAA1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Tkacz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7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https://zasoby.msl.org.pl/arts/view/6876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679BB108" w14:textId="6E50A32B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Tragarz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8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https://zasoby.msl.org.pl/arts/view/18970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40BBD8F9" w14:textId="0FC3CA96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Szofer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9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https://zasoby.msl.org.pl/arts/view/19001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0DDC66DF" w14:textId="63B16B05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Karol Hiller </w:t>
      </w:r>
      <w:proofErr w:type="spellStart"/>
      <w:r w:rsidRPr="009E4FC0">
        <w:rPr>
          <w:rFonts w:ascii="United Sans Rg Lt" w:eastAsia="Times New Roman" w:hAnsi="United Sans Rg Lt" w:cs="Times New Roman"/>
          <w:i/>
          <w:sz w:val="24"/>
          <w:szCs w:val="24"/>
          <w:lang w:val="en-US"/>
        </w:rPr>
        <w:t>Inwalida</w:t>
      </w:r>
      <w:proofErr w:type="spellEnd"/>
      <w:r w:rsidRPr="009E4FC0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10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https://zasoby.msl.org.pl/arts/view/18963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2DD33326" w14:textId="2D1AAF65" w:rsidR="009E4FC0" w:rsidRPr="009E4FC0" w:rsidRDefault="009E4FC0" w:rsidP="009E4FC0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Marek Włodarski </w:t>
      </w:r>
      <w:r w:rsidRPr="009E4FC0">
        <w:rPr>
          <w:rFonts w:ascii="United Sans Rg Lt" w:eastAsia="Times New Roman" w:hAnsi="United Sans Rg Lt" w:cs="Times New Roman"/>
          <w:i/>
          <w:sz w:val="24"/>
          <w:szCs w:val="24"/>
        </w:rPr>
        <w:t>Fryzjer</w:t>
      </w:r>
      <w:r w:rsidRPr="009E4FC0"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hyperlink r:id="rId11" w:history="1">
        <w:r w:rsidRPr="005D2409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https://zasoby.msl.org.pl/arts/view/6829</w:t>
        </w:r>
      </w:hyperlink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</w:p>
    <w:sectPr w:rsidR="009E4FC0" w:rsidRPr="009E4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ted Sans Cd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2260"/>
    <w:multiLevelType w:val="hybridMultilevel"/>
    <w:tmpl w:val="6C101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D4ECD"/>
    <w:multiLevelType w:val="hybridMultilevel"/>
    <w:tmpl w:val="7BB44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972AF"/>
    <w:multiLevelType w:val="hybridMultilevel"/>
    <w:tmpl w:val="5C1C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C3068"/>
    <w:multiLevelType w:val="hybridMultilevel"/>
    <w:tmpl w:val="87B6E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223C6"/>
    <w:multiLevelType w:val="hybridMultilevel"/>
    <w:tmpl w:val="2004B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CE"/>
    <w:rsid w:val="00267303"/>
    <w:rsid w:val="003E5A39"/>
    <w:rsid w:val="00431249"/>
    <w:rsid w:val="0047226F"/>
    <w:rsid w:val="004869D1"/>
    <w:rsid w:val="005F1B80"/>
    <w:rsid w:val="006059CC"/>
    <w:rsid w:val="0064560F"/>
    <w:rsid w:val="0070181E"/>
    <w:rsid w:val="007D1C31"/>
    <w:rsid w:val="008A2869"/>
    <w:rsid w:val="009802CE"/>
    <w:rsid w:val="009E4FC0"/>
    <w:rsid w:val="00A749B5"/>
    <w:rsid w:val="00B85AFE"/>
    <w:rsid w:val="00BC3486"/>
    <w:rsid w:val="00CC5114"/>
    <w:rsid w:val="00D86A6A"/>
    <w:rsid w:val="00E17FEF"/>
    <w:rsid w:val="00ED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884A"/>
  <w15:chartTrackingRefBased/>
  <w15:docId w15:val="{3BFD3F2D-962E-4BE1-8EBC-5961CB8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869D1"/>
    <w:pPr>
      <w:spacing w:before="100" w:beforeAutospacing="1" w:after="100" w:afterAutospacing="1" w:line="240" w:lineRule="auto"/>
      <w:outlineLvl w:val="0"/>
    </w:pPr>
    <w:rPr>
      <w:rFonts w:ascii="United Sans Rg Lt" w:eastAsia="Times New Roman" w:hAnsi="United Sans Rg Lt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49B5"/>
    <w:pPr>
      <w:keepNext/>
      <w:keepLines/>
      <w:spacing w:before="40" w:after="0"/>
      <w:outlineLvl w:val="1"/>
    </w:pPr>
    <w:rPr>
      <w:rFonts w:ascii="United Sans Rg Lt" w:eastAsiaTheme="majorEastAsia" w:hAnsi="United Sans Rg Lt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7FEF"/>
    <w:pPr>
      <w:keepNext/>
      <w:keepLines/>
      <w:spacing w:before="40" w:after="0"/>
      <w:outlineLvl w:val="2"/>
    </w:pPr>
    <w:rPr>
      <w:rFonts w:ascii="United Sans Cd Lt" w:eastAsiaTheme="majorEastAsia" w:hAnsi="United Sans Cd Lt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69D1"/>
    <w:rPr>
      <w:rFonts w:ascii="United Sans Rg Lt" w:eastAsia="Times New Roman" w:hAnsi="United Sans Rg Lt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rsid w:val="00BC3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C348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749B5"/>
    <w:rPr>
      <w:rFonts w:ascii="United Sans Rg Lt" w:eastAsiaTheme="majorEastAsia" w:hAnsi="United Sans Rg Lt" w:cstheme="majorBidi"/>
      <w:b/>
      <w:color w:val="000000" w:themeColor="text1"/>
      <w:sz w:val="28"/>
      <w:szCs w:val="26"/>
    </w:rPr>
  </w:style>
  <w:style w:type="paragraph" w:styleId="Akapitzlist">
    <w:name w:val="List Paragraph"/>
    <w:basedOn w:val="Normalny"/>
    <w:uiPriority w:val="34"/>
    <w:qFormat/>
    <w:rsid w:val="003E5A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59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9C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E17FEF"/>
    <w:rPr>
      <w:rFonts w:ascii="United Sans Cd Lt" w:eastAsiaTheme="majorEastAsia" w:hAnsi="United Sans Cd Lt" w:cstheme="majorBidi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C51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soby.msl.org.pl/arts/view/1897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soby.msl.org.pl/arts/view/687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soby.msl.org.pl/arts/view/497" TargetMode="External"/><Relationship Id="rId11" Type="http://schemas.openxmlformats.org/officeDocument/2006/relationships/hyperlink" Target="https://zasoby.msl.org.pl/arts/view/6829" TargetMode="External"/><Relationship Id="rId5" Type="http://schemas.openxmlformats.org/officeDocument/2006/relationships/hyperlink" Target="https://zasoby.msl.org.pl/arts/view/6239" TargetMode="External"/><Relationship Id="rId10" Type="http://schemas.openxmlformats.org/officeDocument/2006/relationships/hyperlink" Target="https://zasoby.msl.org.pl/arts/view/189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soby.msl.org.pl/arts/view/1900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„Jak działa Muzeum”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„W oku cyklonu. Modernizm w Ukrainie”</dc:title>
  <dc:subject/>
  <dc:creator>IWojtyczka</dc:creator>
  <cp:keywords/>
  <dc:description/>
  <cp:lastModifiedBy>IWojtyczka</cp:lastModifiedBy>
  <cp:revision>2</cp:revision>
  <dcterms:created xsi:type="dcterms:W3CDTF">2025-07-21T12:19:00Z</dcterms:created>
  <dcterms:modified xsi:type="dcterms:W3CDTF">2025-07-21T12:19:00Z</dcterms:modified>
</cp:coreProperties>
</file>